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E1FB9" w14:textId="77777777" w:rsidR="00AB173D" w:rsidRDefault="00AB173D">
      <w:pPr>
        <w:pStyle w:val="Corpotesto"/>
        <w:rPr>
          <w:rFonts w:ascii="Times New Roman" w:hAnsi="Times New Roman"/>
          <w:sz w:val="20"/>
        </w:rPr>
      </w:pPr>
    </w:p>
    <w:p w14:paraId="7683C915" w14:textId="6C1B7A68" w:rsidR="00AB173D" w:rsidRDefault="00985958">
      <w:pPr>
        <w:spacing w:before="99"/>
        <w:ind w:left="115"/>
        <w:rPr>
          <w:rFonts w:ascii="Georgia" w:hAnsi="Georgia"/>
          <w:sz w:val="32"/>
        </w:rPr>
      </w:pPr>
      <w:r>
        <w:rPr>
          <w:rFonts w:ascii="Georgia" w:hAnsi="Georgia"/>
          <w:color w:val="003057"/>
          <w:sz w:val="32"/>
        </w:rPr>
        <w:t xml:space="preserve">Academic guidelines for international programmes </w:t>
      </w:r>
    </w:p>
    <w:p w14:paraId="38C61268" w14:textId="77777777" w:rsidR="00AB173D" w:rsidRDefault="00000000">
      <w:pPr>
        <w:spacing w:before="61"/>
        <w:ind w:left="115"/>
        <w:rPr>
          <w:b/>
          <w:sz w:val="28"/>
        </w:rPr>
      </w:pPr>
      <w:r>
        <w:rPr>
          <w:b/>
          <w:color w:val="003057"/>
          <w:sz w:val="28"/>
        </w:rPr>
        <w:t>Facoltà di Scienze bancarie, finanziarie e assicurative</w:t>
      </w:r>
    </w:p>
    <w:p w14:paraId="21BCE94A" w14:textId="77777777" w:rsidR="00AB173D" w:rsidRDefault="00AB173D">
      <w:pPr>
        <w:pStyle w:val="Corpotesto"/>
        <w:spacing w:before="2"/>
        <w:rPr>
          <w:b/>
          <w:sz w:val="36"/>
        </w:rPr>
      </w:pPr>
    </w:p>
    <w:p w14:paraId="674E76A0" w14:textId="38ED7755" w:rsidR="00AB173D" w:rsidRPr="00A65879" w:rsidRDefault="00985958">
      <w:pPr>
        <w:pStyle w:val="Titolo2"/>
        <w:spacing w:line="252" w:lineRule="exact"/>
      </w:pPr>
      <w:proofErr w:type="spellStart"/>
      <w:r w:rsidRPr="00A65879">
        <w:t>Academic</w:t>
      </w:r>
      <w:proofErr w:type="spellEnd"/>
      <w:r w:rsidRPr="00A65879">
        <w:t xml:space="preserve"> Team: </w:t>
      </w:r>
      <w:proofErr w:type="spellStart"/>
      <w:r w:rsidRPr="00A65879">
        <w:t>Exam</w:t>
      </w:r>
      <w:proofErr w:type="spellEnd"/>
      <w:r w:rsidRPr="00A65879">
        <w:t xml:space="preserve"> Conversion </w:t>
      </w:r>
      <w:proofErr w:type="spellStart"/>
      <w:r w:rsidRPr="00A65879">
        <w:t>Request</w:t>
      </w:r>
      <w:proofErr w:type="spellEnd"/>
    </w:p>
    <w:p w14:paraId="4829C18D" w14:textId="7AB34608" w:rsidR="00AB173D" w:rsidRPr="00A65879" w:rsidRDefault="00A65879">
      <w:pPr>
        <w:pStyle w:val="Corpotesto"/>
        <w:ind w:left="116" w:right="2617" w:hanging="1"/>
      </w:pPr>
      <w:r>
        <w:t>Coordinator</w:t>
      </w:r>
      <w:r w:rsidR="00985958" w:rsidRPr="00A65879">
        <w:t xml:space="preserve">: Prof. Marzia De </w:t>
      </w:r>
      <w:proofErr w:type="gramStart"/>
      <w:r w:rsidR="00985958" w:rsidRPr="00A65879">
        <w:t>Donno  (</w:t>
      </w:r>
      <w:proofErr w:type="gramEnd"/>
      <w:hyperlink r:id="rId7">
        <w:r w:rsidR="00985958" w:rsidRPr="00A65879">
          <w:rPr>
            <w:rStyle w:val="Collegamentoipertestuale"/>
            <w:color w:val="0000FF"/>
            <w:u w:color="0000FF"/>
          </w:rPr>
          <w:t>internazionale.sbfa@unicatt.it</w:t>
        </w:r>
      </w:hyperlink>
      <w:r w:rsidR="00985958" w:rsidRPr="00A65879">
        <w:t>)</w:t>
      </w:r>
    </w:p>
    <w:p w14:paraId="04F30782" w14:textId="77777777" w:rsidR="00AB173D" w:rsidRDefault="00000000">
      <w:pPr>
        <w:pStyle w:val="Corpotesto"/>
        <w:ind w:left="116" w:right="2617" w:hanging="1"/>
      </w:pPr>
      <w:r>
        <w:t>Tutor: dott. Edoardo Berton</w:t>
      </w:r>
    </w:p>
    <w:p w14:paraId="7A73AC10" w14:textId="77777777" w:rsidR="00AB173D" w:rsidRDefault="00000000">
      <w:pPr>
        <w:pStyle w:val="Corpotesto"/>
        <w:ind w:left="116" w:right="2617" w:hanging="1"/>
      </w:pPr>
      <w:r>
        <w:t>(</w:t>
      </w:r>
      <w:hyperlink r:id="rId8">
        <w:r w:rsidR="00AB173D">
          <w:rPr>
            <w:rStyle w:val="Collegamentoipertestuale"/>
            <w:color w:val="0000FF"/>
            <w:u w:color="0000FF"/>
          </w:rPr>
          <w:t>edoardo.berton@unicatt.it</w:t>
        </w:r>
      </w:hyperlink>
      <w:r>
        <w:t>)</w:t>
      </w:r>
    </w:p>
    <w:p w14:paraId="429CD79A" w14:textId="77777777" w:rsidR="00AB173D" w:rsidRDefault="00AB173D">
      <w:pPr>
        <w:pStyle w:val="Corpotesto"/>
        <w:spacing w:before="9"/>
        <w:rPr>
          <w:sz w:val="13"/>
        </w:rPr>
      </w:pPr>
    </w:p>
    <w:p w14:paraId="1607F71B" w14:textId="3B896A53" w:rsidR="00AB173D" w:rsidRPr="00A65879" w:rsidRDefault="00985958">
      <w:pPr>
        <w:pStyle w:val="Titolo2"/>
        <w:spacing w:before="94"/>
        <w:rPr>
          <w:lang w:val="en-US"/>
        </w:rPr>
      </w:pPr>
      <w:r w:rsidRPr="00A65879">
        <w:rPr>
          <w:lang w:val="en-US"/>
        </w:rPr>
        <w:t>Administrative Team:</w:t>
      </w:r>
    </w:p>
    <w:p w14:paraId="4A9F7736" w14:textId="77777777" w:rsidR="00AB173D" w:rsidRPr="00A65879" w:rsidRDefault="00AB173D">
      <w:pPr>
        <w:pStyle w:val="Corpotesto"/>
        <w:spacing w:before="1"/>
        <w:ind w:left="115"/>
        <w:rPr>
          <w:lang w:val="en-US"/>
        </w:rPr>
      </w:pPr>
      <w:hyperlink r:id="rId9">
        <w:r w:rsidRPr="00A65879">
          <w:rPr>
            <w:color w:val="0000FF"/>
            <w:u w:val="single" w:color="0000FF"/>
            <w:lang w:val="en-US"/>
          </w:rPr>
          <w:t>riconoscimento.esamiesteri@unicatt.it</w:t>
        </w:r>
      </w:hyperlink>
    </w:p>
    <w:p w14:paraId="62AD397E" w14:textId="77777777" w:rsidR="00AB173D" w:rsidRPr="00A65879" w:rsidRDefault="00AB173D">
      <w:pPr>
        <w:pStyle w:val="Corpotesto"/>
        <w:rPr>
          <w:sz w:val="20"/>
          <w:lang w:val="en-US"/>
        </w:rPr>
      </w:pPr>
    </w:p>
    <w:p w14:paraId="2A837FAD" w14:textId="77777777" w:rsidR="00AB173D" w:rsidRPr="00A65879" w:rsidRDefault="00AB173D">
      <w:pPr>
        <w:pStyle w:val="Corpotesto"/>
        <w:spacing w:before="11"/>
        <w:rPr>
          <w:sz w:val="19"/>
          <w:lang w:val="en-US"/>
        </w:rPr>
      </w:pPr>
    </w:p>
    <w:p w14:paraId="11C5CEB7" w14:textId="77777777" w:rsidR="00AB173D" w:rsidRPr="00A65879" w:rsidRDefault="00AB173D">
      <w:pPr>
        <w:pStyle w:val="Corpotesto"/>
        <w:spacing w:before="11"/>
        <w:rPr>
          <w:sz w:val="19"/>
          <w:lang w:val="en-US"/>
        </w:rPr>
      </w:pPr>
    </w:p>
    <w:p w14:paraId="639334D4" w14:textId="65FF1304" w:rsidR="00585D1B" w:rsidRPr="00585D1B" w:rsidRDefault="00585D1B" w:rsidP="00585D1B">
      <w:pPr>
        <w:pStyle w:val="Titolo1"/>
        <w:spacing w:before="92"/>
        <w:rPr>
          <w:color w:val="003057"/>
          <w:lang w:val="en-GB"/>
        </w:rPr>
      </w:pPr>
      <w:r w:rsidRPr="00585D1B">
        <w:rPr>
          <w:color w:val="003057"/>
          <w:lang w:val="en-GB"/>
        </w:rPr>
        <w:t>General Guidelines for all International Programs</w:t>
      </w:r>
    </w:p>
    <w:p w14:paraId="1F0B0F6D" w14:textId="77777777" w:rsidR="00AB173D" w:rsidRPr="00585D1B" w:rsidRDefault="00AB173D">
      <w:pPr>
        <w:pStyle w:val="Corpotesto"/>
        <w:spacing w:before="1"/>
        <w:jc w:val="both"/>
        <w:rPr>
          <w:b/>
          <w:sz w:val="25"/>
          <w:lang w:val="en-GB"/>
        </w:rPr>
      </w:pPr>
    </w:p>
    <w:p w14:paraId="2A239DA8" w14:textId="5FB0A4FD" w:rsidR="00585D1B" w:rsidRPr="00AB6F2D" w:rsidRDefault="00585D1B" w:rsidP="00AB6F2D">
      <w:pPr>
        <w:pStyle w:val="Paragrafoelenco"/>
        <w:numPr>
          <w:ilvl w:val="0"/>
          <w:numId w:val="2"/>
        </w:numPr>
        <w:tabs>
          <w:tab w:val="left" w:pos="573"/>
        </w:tabs>
        <w:spacing w:before="13" w:line="235" w:lineRule="auto"/>
        <w:ind w:right="306"/>
        <w:jc w:val="both"/>
        <w:rPr>
          <w:lang w:val="en-GB"/>
        </w:rPr>
      </w:pPr>
      <w:r w:rsidRPr="00AB6F2D">
        <w:rPr>
          <w:lang w:val="en-GB"/>
        </w:rPr>
        <w:t xml:space="preserve">The request for exam approval must be submitted </w:t>
      </w:r>
      <w:r w:rsidR="00AB6F2D" w:rsidRPr="00585D1B">
        <w:rPr>
          <w:b/>
          <w:bCs/>
          <w:lang w:val="en-GB"/>
        </w:rPr>
        <w:t>exclusively</w:t>
      </w:r>
      <w:r w:rsidR="00AB6F2D" w:rsidRPr="00585D1B">
        <w:rPr>
          <w:lang w:val="en-GB"/>
        </w:rPr>
        <w:t xml:space="preserve"> </w:t>
      </w:r>
      <w:r w:rsidRPr="00AB6F2D">
        <w:rPr>
          <w:lang w:val="en-GB"/>
        </w:rPr>
        <w:t>through the Program Plan, which can be accessed from your iCatt page.</w:t>
      </w:r>
    </w:p>
    <w:p w14:paraId="336404A2" w14:textId="77777777" w:rsidR="00585D1B" w:rsidRPr="00A65879" w:rsidRDefault="00585D1B" w:rsidP="00AB6F2D">
      <w:pPr>
        <w:pStyle w:val="Paragrafoelenco"/>
        <w:numPr>
          <w:ilvl w:val="0"/>
          <w:numId w:val="2"/>
        </w:numPr>
        <w:tabs>
          <w:tab w:val="left" w:pos="573"/>
        </w:tabs>
        <w:spacing w:before="13" w:line="235" w:lineRule="auto"/>
        <w:ind w:right="306"/>
        <w:jc w:val="both"/>
        <w:rPr>
          <w:lang w:val="en-US"/>
        </w:rPr>
      </w:pPr>
      <w:r w:rsidRPr="00A65879">
        <w:rPr>
          <w:lang w:val="en-US"/>
        </w:rPr>
        <w:t>The student is required to submit their program plan for evaluation BEFORE departing for the foreign university.</w:t>
      </w:r>
    </w:p>
    <w:p w14:paraId="1F128316" w14:textId="28007CF6" w:rsidR="00585D1B" w:rsidRPr="00A65879" w:rsidRDefault="00585D1B" w:rsidP="00AB6F2D">
      <w:pPr>
        <w:pStyle w:val="Paragrafoelenco"/>
        <w:numPr>
          <w:ilvl w:val="0"/>
          <w:numId w:val="2"/>
        </w:numPr>
        <w:tabs>
          <w:tab w:val="left" w:pos="573"/>
        </w:tabs>
        <w:spacing w:before="13" w:line="235" w:lineRule="auto"/>
        <w:ind w:right="306"/>
        <w:jc w:val="both"/>
        <w:rPr>
          <w:lang w:val="en-US"/>
        </w:rPr>
      </w:pPr>
      <w:r w:rsidRPr="00A65879">
        <w:rPr>
          <w:lang w:val="en-US"/>
        </w:rPr>
        <w:t>Program plans can be modified after departure (instructions available at the link "</w:t>
      </w:r>
      <w:proofErr w:type="spellStart"/>
      <w:r w:rsidRPr="00A65879">
        <w:rPr>
          <w:lang w:val="en-US"/>
        </w:rPr>
        <w:t>Creazione</w:t>
      </w:r>
      <w:proofErr w:type="spellEnd"/>
      <w:r w:rsidRPr="00A65879">
        <w:rPr>
          <w:lang w:val="en-US"/>
        </w:rPr>
        <w:t xml:space="preserve"> Program Plan").</w:t>
      </w:r>
    </w:p>
    <w:p w14:paraId="243B9A5E" w14:textId="77777777" w:rsidR="00585D1B" w:rsidRPr="00A65879" w:rsidRDefault="00585D1B" w:rsidP="00AB6F2D">
      <w:pPr>
        <w:pStyle w:val="Paragrafoelenco"/>
        <w:numPr>
          <w:ilvl w:val="0"/>
          <w:numId w:val="2"/>
        </w:numPr>
        <w:tabs>
          <w:tab w:val="left" w:pos="573"/>
        </w:tabs>
        <w:spacing w:before="13" w:line="235" w:lineRule="auto"/>
        <w:ind w:right="306"/>
        <w:jc w:val="both"/>
        <w:rPr>
          <w:lang w:val="en-US"/>
        </w:rPr>
      </w:pPr>
      <w:r w:rsidRPr="00A65879">
        <w:rPr>
          <w:lang w:val="en-US"/>
        </w:rPr>
        <w:t>Program plans submitted AFTER completing courses abroad will not be evaluated. Without prior approval of the Program Plan, the foreign course will not be accepted, and its grade will not appear in the student’s academic record.</w:t>
      </w:r>
    </w:p>
    <w:p w14:paraId="1D9DC48B" w14:textId="46D0D54D" w:rsidR="00585D1B" w:rsidRPr="00A65879" w:rsidRDefault="00585D1B" w:rsidP="00AB6F2D">
      <w:pPr>
        <w:pStyle w:val="Paragrafoelenco"/>
        <w:numPr>
          <w:ilvl w:val="0"/>
          <w:numId w:val="2"/>
        </w:numPr>
        <w:tabs>
          <w:tab w:val="left" w:pos="573"/>
        </w:tabs>
        <w:spacing w:before="13" w:line="235" w:lineRule="auto"/>
        <w:ind w:right="306"/>
        <w:jc w:val="both"/>
        <w:rPr>
          <w:lang w:val="en-US"/>
        </w:rPr>
      </w:pPr>
      <w:r w:rsidRPr="00AB6F2D">
        <w:rPr>
          <w:lang w:val="en-GB"/>
        </w:rPr>
        <w:t xml:space="preserve">A maximum of </w:t>
      </w:r>
      <w:r w:rsidR="00AB6F2D" w:rsidRPr="00585D1B">
        <w:rPr>
          <w:b/>
          <w:bCs/>
          <w:lang w:val="en-GB"/>
        </w:rPr>
        <w:t>2 semesters</w:t>
      </w:r>
      <w:r w:rsidRPr="00AB6F2D">
        <w:rPr>
          <w:lang w:val="en-GB"/>
        </w:rPr>
        <w:t xml:space="preserve"> abroad is allowed per degree program (maximum 2 semesters for a bachelor’s degree, maximum 2 semesters for a master's degree). </w:t>
      </w:r>
      <w:r w:rsidRPr="00A65879">
        <w:rPr>
          <w:lang w:val="en-US"/>
        </w:rPr>
        <w:t>Double Degree programs are included in this count, while Summer Programs are excluded.</w:t>
      </w:r>
    </w:p>
    <w:p w14:paraId="558BB14C" w14:textId="4081052B" w:rsidR="00AB6F2D" w:rsidRPr="00AB6F2D" w:rsidRDefault="00585D1B" w:rsidP="00AB6F2D">
      <w:pPr>
        <w:pStyle w:val="Paragrafoelenco"/>
        <w:numPr>
          <w:ilvl w:val="0"/>
          <w:numId w:val="2"/>
        </w:numPr>
        <w:tabs>
          <w:tab w:val="left" w:pos="573"/>
        </w:tabs>
        <w:spacing w:before="13" w:line="235" w:lineRule="auto"/>
        <w:ind w:right="306"/>
        <w:jc w:val="both"/>
        <w:rPr>
          <w:lang w:val="en-GB"/>
        </w:rPr>
      </w:pPr>
      <w:r w:rsidRPr="00AB6F2D">
        <w:rPr>
          <w:lang w:val="en-GB"/>
        </w:rPr>
        <w:t xml:space="preserve">A maximum of </w:t>
      </w:r>
      <w:r w:rsidRPr="00AB6F2D">
        <w:rPr>
          <w:b/>
          <w:bCs/>
          <w:lang w:val="en-GB"/>
        </w:rPr>
        <w:t>30 credits</w:t>
      </w:r>
      <w:r w:rsidRPr="00AB6F2D">
        <w:rPr>
          <w:lang w:val="en-GB"/>
        </w:rPr>
        <w:t xml:space="preserve"> can be converted </w:t>
      </w:r>
      <w:r w:rsidR="00AB6F2D" w:rsidRPr="00585D1B">
        <w:rPr>
          <w:b/>
          <w:bCs/>
          <w:lang w:val="en-GB"/>
        </w:rPr>
        <w:t>for one semester</w:t>
      </w:r>
      <w:r w:rsidR="00AB6F2D" w:rsidRPr="00585D1B">
        <w:rPr>
          <w:lang w:val="en-GB"/>
        </w:rPr>
        <w:t xml:space="preserve">, </w:t>
      </w:r>
      <w:r w:rsidR="00AB6F2D" w:rsidRPr="00585D1B">
        <w:rPr>
          <w:b/>
          <w:bCs/>
          <w:lang w:val="en-GB"/>
        </w:rPr>
        <w:t>60 credits</w:t>
      </w:r>
      <w:r w:rsidR="00AB6F2D" w:rsidRPr="00585D1B">
        <w:rPr>
          <w:lang w:val="en-GB"/>
        </w:rPr>
        <w:t xml:space="preserve"> </w:t>
      </w:r>
      <w:r w:rsidR="00AB6F2D" w:rsidRPr="00585D1B">
        <w:rPr>
          <w:b/>
          <w:bCs/>
          <w:lang w:val="en-GB"/>
        </w:rPr>
        <w:t>for two semesters</w:t>
      </w:r>
      <w:r w:rsidRPr="00AB6F2D">
        <w:rPr>
          <w:lang w:val="en-GB"/>
        </w:rPr>
        <w:t xml:space="preserve"> (credits are cumulative with any credits obtained through Summer Programs).</w:t>
      </w:r>
    </w:p>
    <w:p w14:paraId="4861785A" w14:textId="77777777" w:rsidR="00AB173D" w:rsidRPr="00AB6F2D" w:rsidRDefault="00AB173D">
      <w:pPr>
        <w:pStyle w:val="Paragrafoelenco"/>
        <w:tabs>
          <w:tab w:val="left" w:pos="572"/>
          <w:tab w:val="left" w:pos="573"/>
        </w:tabs>
        <w:spacing w:before="26" w:line="235" w:lineRule="auto"/>
        <w:ind w:right="829"/>
        <w:jc w:val="both"/>
        <w:rPr>
          <w:lang w:val="en-GB"/>
        </w:rPr>
      </w:pPr>
    </w:p>
    <w:p w14:paraId="5E52E6AA" w14:textId="7D6AC6A0" w:rsidR="00AB173D" w:rsidRDefault="00585D1B">
      <w:pPr>
        <w:pStyle w:val="Titolo1"/>
        <w:jc w:val="both"/>
      </w:pPr>
      <w:r>
        <w:rPr>
          <w:color w:val="003057"/>
        </w:rPr>
        <w:t>Additional Information – Summer Programme</w:t>
      </w:r>
    </w:p>
    <w:p w14:paraId="1860238B" w14:textId="4146A941" w:rsidR="00AB6F2D" w:rsidRPr="00AB6F2D" w:rsidRDefault="00AB6F2D" w:rsidP="00AB6F2D">
      <w:pPr>
        <w:pStyle w:val="Paragrafoelenco"/>
        <w:numPr>
          <w:ilvl w:val="0"/>
          <w:numId w:val="2"/>
        </w:numPr>
        <w:tabs>
          <w:tab w:val="left" w:pos="572"/>
          <w:tab w:val="left" w:pos="573"/>
        </w:tabs>
        <w:spacing w:before="15" w:line="235" w:lineRule="auto"/>
        <w:ind w:right="515"/>
        <w:jc w:val="both"/>
        <w:rPr>
          <w:lang w:val="en-GB"/>
        </w:rPr>
      </w:pPr>
      <w:r w:rsidRPr="00AB6F2D">
        <w:rPr>
          <w:lang w:val="en-GB"/>
        </w:rPr>
        <w:t>A student can participate in only one Summer Programme per degree programme (maximum 1 for the bachelor's degree and maximum 1 for the master's degree).</w:t>
      </w:r>
    </w:p>
    <w:p w14:paraId="2C2C9794" w14:textId="18DFA314" w:rsidR="00AB6F2D" w:rsidRPr="00AB6F2D" w:rsidRDefault="00AB6F2D" w:rsidP="00AB6F2D">
      <w:pPr>
        <w:pStyle w:val="Paragrafoelenco"/>
        <w:numPr>
          <w:ilvl w:val="0"/>
          <w:numId w:val="2"/>
        </w:numPr>
        <w:tabs>
          <w:tab w:val="left" w:pos="572"/>
          <w:tab w:val="left" w:pos="573"/>
        </w:tabs>
        <w:spacing w:before="15" w:line="235" w:lineRule="auto"/>
        <w:ind w:right="515"/>
        <w:jc w:val="both"/>
        <w:rPr>
          <w:lang w:val="en-GB"/>
        </w:rPr>
      </w:pPr>
      <w:r w:rsidRPr="00AB6F2D">
        <w:rPr>
          <w:lang w:val="en-GB"/>
        </w:rPr>
        <w:t xml:space="preserve">Only requests for Summer Programs offered by Università Cattolica (available at the website: </w:t>
      </w:r>
      <w:r w:rsidRPr="00AB6F2D">
        <w:rPr>
          <w:color w:val="0000FF"/>
          <w:spacing w:val="-1"/>
          <w:u w:val="single" w:color="0000FF"/>
          <w:lang w:val="en-GB"/>
        </w:rPr>
        <w:t xml:space="preserve">https://goabroad.unicatt.it/goabroad-facolta-scienze-bancarie- </w:t>
      </w:r>
      <w:proofErr w:type="spellStart"/>
      <w:r w:rsidRPr="00AB6F2D">
        <w:rPr>
          <w:color w:val="0000FF"/>
          <w:u w:val="single" w:color="0000FF"/>
          <w:lang w:val="en-GB"/>
        </w:rPr>
        <w:t>finanziarie</w:t>
      </w:r>
      <w:proofErr w:type="spellEnd"/>
      <w:r w:rsidRPr="00AB6F2D">
        <w:rPr>
          <w:color w:val="0000FF"/>
          <w:u w:val="single" w:color="0000FF"/>
          <w:lang w:val="en-GB"/>
        </w:rPr>
        <w:t>-</w:t>
      </w:r>
      <w:hyperlink r:id="rId10" w:anchor="content" w:history="1">
        <w:r w:rsidRPr="00AB6F2D">
          <w:rPr>
            <w:color w:val="0000FF"/>
            <w:u w:val="single" w:color="0000FF"/>
            <w:lang w:val="en-GB"/>
          </w:rPr>
          <w:t xml:space="preserve"> </w:t>
        </w:r>
        <w:proofErr w:type="spellStart"/>
        <w:r w:rsidRPr="00AB6F2D">
          <w:rPr>
            <w:color w:val="0000FF"/>
            <w:u w:val="single" w:color="0000FF"/>
            <w:lang w:val="en-GB"/>
          </w:rPr>
          <w:t>e-assicurative#content</w:t>
        </w:r>
        <w:proofErr w:type="spellEnd"/>
      </w:hyperlink>
      <w:r w:rsidRPr="00AB6F2D">
        <w:rPr>
          <w:lang w:val="en-GB"/>
        </w:rPr>
        <w:t>) will be considered.</w:t>
      </w:r>
    </w:p>
    <w:p w14:paraId="6904186A" w14:textId="203A7A28" w:rsidR="00AB6F2D" w:rsidRPr="00A65879" w:rsidRDefault="00AB6F2D" w:rsidP="00AB6F2D">
      <w:pPr>
        <w:pStyle w:val="Paragrafoelenco"/>
        <w:numPr>
          <w:ilvl w:val="0"/>
          <w:numId w:val="2"/>
        </w:numPr>
        <w:spacing w:before="13" w:line="235" w:lineRule="auto"/>
        <w:ind w:right="306"/>
        <w:jc w:val="both"/>
        <w:rPr>
          <w:lang w:val="en-US"/>
        </w:rPr>
      </w:pPr>
      <w:r w:rsidRPr="00A65879">
        <w:rPr>
          <w:lang w:val="en-US"/>
        </w:rPr>
        <w:t xml:space="preserve">Courses must be approved BEFORE departure: Program Plans related </w:t>
      </w:r>
      <w:r w:rsidRPr="00AB6F2D">
        <w:rPr>
          <w:lang w:val="en-GB"/>
        </w:rPr>
        <w:t>to Summer Program</w:t>
      </w:r>
      <w:r>
        <w:rPr>
          <w:lang w:val="en-GB"/>
        </w:rPr>
        <w:t>me</w:t>
      </w:r>
      <w:r w:rsidRPr="00AB6F2D">
        <w:rPr>
          <w:lang w:val="en-GB"/>
        </w:rPr>
        <w:t xml:space="preserve">s submitted after completing the courses abroad will not be evaluated. </w:t>
      </w:r>
      <w:r w:rsidRPr="00A65879">
        <w:rPr>
          <w:lang w:val="en-US"/>
        </w:rPr>
        <w:t>Without prior approval of the program plan, the foreign course will not be accepted, and its grade will not appear in the student’s academic record.</w:t>
      </w:r>
    </w:p>
    <w:p w14:paraId="1A6C18B9" w14:textId="1F8D36CD" w:rsidR="00AB173D" w:rsidRPr="00A65879" w:rsidRDefault="00AB6F2D" w:rsidP="00AB6F2D">
      <w:pPr>
        <w:pStyle w:val="Paragrafoelenco"/>
        <w:numPr>
          <w:ilvl w:val="0"/>
          <w:numId w:val="2"/>
        </w:numPr>
        <w:spacing w:before="13" w:line="235" w:lineRule="auto"/>
        <w:ind w:right="306"/>
        <w:jc w:val="both"/>
        <w:rPr>
          <w:lang w:val="en-US"/>
        </w:rPr>
      </w:pPr>
      <w:r w:rsidRPr="00A65879">
        <w:rPr>
          <w:lang w:val="en-US"/>
        </w:rPr>
        <w:t>Only one exam can be converted for a maximum of 10 credits.</w:t>
      </w:r>
    </w:p>
    <w:p w14:paraId="3FFD1FD0" w14:textId="77777777" w:rsidR="00AB173D" w:rsidRDefault="00AB173D">
      <w:pPr>
        <w:pStyle w:val="Corpotesto"/>
        <w:spacing w:before="4"/>
        <w:jc w:val="both"/>
        <w:rPr>
          <w:sz w:val="26"/>
          <w:lang w:val="en-US"/>
        </w:rPr>
      </w:pPr>
    </w:p>
    <w:p w14:paraId="75416C18" w14:textId="77777777" w:rsidR="00A65879" w:rsidRDefault="00A65879">
      <w:pPr>
        <w:pStyle w:val="Corpotesto"/>
        <w:spacing w:before="4"/>
        <w:jc w:val="both"/>
        <w:rPr>
          <w:sz w:val="26"/>
          <w:lang w:val="en-US"/>
        </w:rPr>
      </w:pPr>
    </w:p>
    <w:p w14:paraId="540CFFA8" w14:textId="77777777" w:rsidR="00A65879" w:rsidRDefault="00A65879">
      <w:pPr>
        <w:pStyle w:val="Corpotesto"/>
        <w:spacing w:before="4"/>
        <w:jc w:val="both"/>
        <w:rPr>
          <w:sz w:val="26"/>
          <w:lang w:val="en-US"/>
        </w:rPr>
      </w:pPr>
    </w:p>
    <w:p w14:paraId="743FC2D8" w14:textId="77777777" w:rsidR="00A65879" w:rsidRPr="00A65879" w:rsidRDefault="00A65879">
      <w:pPr>
        <w:pStyle w:val="Corpotesto"/>
        <w:spacing w:before="4"/>
        <w:jc w:val="both"/>
        <w:rPr>
          <w:sz w:val="26"/>
          <w:lang w:val="en-US"/>
        </w:rPr>
      </w:pPr>
    </w:p>
    <w:p w14:paraId="6CBA47A6" w14:textId="780D166C" w:rsidR="00AB173D" w:rsidRPr="00A65879" w:rsidRDefault="00AB6F2D" w:rsidP="00AB6F2D">
      <w:pPr>
        <w:pStyle w:val="Titolo1"/>
        <w:jc w:val="both"/>
        <w:rPr>
          <w:color w:val="003057"/>
          <w:lang w:val="en-US"/>
        </w:rPr>
      </w:pPr>
      <w:r w:rsidRPr="00A65879">
        <w:rPr>
          <w:color w:val="003057"/>
          <w:lang w:val="en-US"/>
        </w:rPr>
        <w:t xml:space="preserve">Specific Guidelines for Double Degree </w:t>
      </w:r>
      <w:proofErr w:type="spellStart"/>
      <w:r w:rsidRPr="00A65879">
        <w:rPr>
          <w:color w:val="003057"/>
          <w:lang w:val="en-US"/>
        </w:rPr>
        <w:t>Programmes</w:t>
      </w:r>
      <w:proofErr w:type="spellEnd"/>
    </w:p>
    <w:p w14:paraId="415BAA62" w14:textId="3C282470" w:rsidR="00AB173D" w:rsidRPr="004F350E" w:rsidRDefault="00AB173D" w:rsidP="00A65879">
      <w:pPr>
        <w:tabs>
          <w:tab w:val="left" w:pos="572"/>
          <w:tab w:val="left" w:pos="573"/>
        </w:tabs>
        <w:spacing w:before="209" w:line="235" w:lineRule="auto"/>
        <w:ind w:right="693"/>
        <w:jc w:val="both"/>
        <w:rPr>
          <w:lang w:val="en-US"/>
        </w:rPr>
      </w:pPr>
    </w:p>
    <w:p w14:paraId="5B8C200E" w14:textId="3F6F7EB0" w:rsidR="00AB6F2D" w:rsidRPr="00AB6F2D" w:rsidRDefault="00AB6F2D" w:rsidP="00AB6F2D">
      <w:pPr>
        <w:pStyle w:val="Paragrafoelenco"/>
        <w:numPr>
          <w:ilvl w:val="0"/>
          <w:numId w:val="2"/>
        </w:numPr>
        <w:tabs>
          <w:tab w:val="left" w:pos="572"/>
          <w:tab w:val="left" w:pos="573"/>
        </w:tabs>
        <w:spacing w:before="209" w:line="235" w:lineRule="auto"/>
        <w:ind w:right="693"/>
        <w:jc w:val="both"/>
        <w:rPr>
          <w:lang w:val="en-GB"/>
        </w:rPr>
      </w:pPr>
      <w:r w:rsidRPr="00AB6F2D">
        <w:rPr>
          <w:lang w:val="en-GB"/>
        </w:rPr>
        <w:t>Students must submit the Program Plan listing ALL the exams in their study plan at the foreign university, including those that correspond with extra courses</w:t>
      </w:r>
      <w:r>
        <w:rPr>
          <w:lang w:val="en-GB"/>
        </w:rPr>
        <w:t xml:space="preserve"> (esami sovrannumerari)</w:t>
      </w:r>
      <w:r w:rsidRPr="00AB6F2D">
        <w:rPr>
          <w:lang w:val="en-GB"/>
        </w:rPr>
        <w:t xml:space="preserve"> at Cattolica.</w:t>
      </w:r>
    </w:p>
    <w:p w14:paraId="603A3136" w14:textId="6019E6EB" w:rsidR="00AB6F2D" w:rsidRPr="00AB6F2D" w:rsidRDefault="00AB6F2D" w:rsidP="00AB6F2D">
      <w:pPr>
        <w:pStyle w:val="Paragrafoelenco"/>
        <w:numPr>
          <w:ilvl w:val="0"/>
          <w:numId w:val="2"/>
        </w:numPr>
        <w:tabs>
          <w:tab w:val="left" w:pos="572"/>
          <w:tab w:val="left" w:pos="573"/>
        </w:tabs>
        <w:spacing w:before="209" w:line="235" w:lineRule="auto"/>
        <w:ind w:right="693"/>
        <w:jc w:val="both"/>
        <w:rPr>
          <w:lang w:val="en-GB"/>
        </w:rPr>
      </w:pPr>
      <w:r w:rsidRPr="00AB6F2D">
        <w:rPr>
          <w:lang w:val="en-GB"/>
        </w:rPr>
        <w:t>The mapping of correspondences between foreign exams and Cattolica exams is fixed, and students must adhere to it. Changes will not be accepted, with the only exception being modifications to the host university’s offerings.</w:t>
      </w:r>
    </w:p>
    <w:p w14:paraId="222F0B3A" w14:textId="078DC822" w:rsidR="00AB6F2D" w:rsidRPr="00AB6F2D" w:rsidRDefault="00AB6F2D" w:rsidP="00AB6F2D">
      <w:pPr>
        <w:pStyle w:val="Paragrafoelenco"/>
        <w:numPr>
          <w:ilvl w:val="0"/>
          <w:numId w:val="2"/>
        </w:numPr>
        <w:tabs>
          <w:tab w:val="left" w:pos="572"/>
          <w:tab w:val="left" w:pos="573"/>
        </w:tabs>
        <w:spacing w:before="209" w:line="235" w:lineRule="auto"/>
        <w:ind w:right="693"/>
        <w:jc w:val="both"/>
        <w:rPr>
          <w:lang w:val="en-GB"/>
        </w:rPr>
      </w:pPr>
      <w:r w:rsidRPr="00AB6F2D">
        <w:rPr>
          <w:lang w:val="en-GB"/>
        </w:rPr>
        <w:t>The Program Plan must be completed BEFORE departure.</w:t>
      </w:r>
    </w:p>
    <w:p w14:paraId="692C1CBB" w14:textId="1B889FEC" w:rsidR="00AB6F2D" w:rsidRDefault="00AB6F2D" w:rsidP="00AB6F2D">
      <w:pPr>
        <w:pStyle w:val="Paragrafoelenco"/>
        <w:numPr>
          <w:ilvl w:val="0"/>
          <w:numId w:val="2"/>
        </w:numPr>
        <w:tabs>
          <w:tab w:val="left" w:pos="572"/>
          <w:tab w:val="left" w:pos="573"/>
        </w:tabs>
        <w:spacing w:before="209" w:line="235" w:lineRule="auto"/>
        <w:ind w:right="693"/>
        <w:jc w:val="both"/>
        <w:rPr>
          <w:lang w:val="en-GB"/>
        </w:rPr>
      </w:pPr>
      <w:r w:rsidRPr="00AB6F2D">
        <w:rPr>
          <w:lang w:val="en-GB"/>
        </w:rPr>
        <w:t xml:space="preserve">Exams required </w:t>
      </w:r>
      <w:r>
        <w:rPr>
          <w:lang w:val="en-GB"/>
        </w:rPr>
        <w:t>during the period at</w:t>
      </w:r>
      <w:r w:rsidRPr="00AB6F2D">
        <w:rPr>
          <w:lang w:val="en-GB"/>
        </w:rPr>
        <w:t xml:space="preserve"> Cattolica must be taken at Cattolica. Additional conversions beyond those required for the year abroad at the foreign university are not allowed. If a student has not passed a Cattolica exam before departing for the year abroad, the exam must be taken upon return.</w:t>
      </w:r>
    </w:p>
    <w:p w14:paraId="0649D57D" w14:textId="77777777" w:rsidR="004F350E" w:rsidRPr="004F350E" w:rsidRDefault="004F350E" w:rsidP="00D8040B">
      <w:pPr>
        <w:pStyle w:val="Paragrafoelenco"/>
        <w:numPr>
          <w:ilvl w:val="0"/>
          <w:numId w:val="2"/>
        </w:numPr>
        <w:tabs>
          <w:tab w:val="left" w:pos="572"/>
          <w:tab w:val="left" w:pos="573"/>
        </w:tabs>
        <w:spacing w:before="209" w:line="235" w:lineRule="auto"/>
        <w:ind w:right="693"/>
        <w:jc w:val="both"/>
        <w:rPr>
          <w:lang w:val="en-GB"/>
        </w:rPr>
      </w:pPr>
      <w:r w:rsidRPr="004F350E">
        <w:rPr>
          <w:lang w:val="en-US"/>
        </w:rPr>
        <w:t>For double degree programs that require taking certain courses in advance, students intending to apply for admission are advised to include the request for early course enrollment in their study plan submission scheduled for October.</w:t>
      </w:r>
    </w:p>
    <w:p w14:paraId="16CCA12C" w14:textId="029E19A1" w:rsidR="00AB6F2D" w:rsidRPr="004F350E" w:rsidRDefault="00AB6F2D" w:rsidP="00D8040B">
      <w:pPr>
        <w:pStyle w:val="Paragrafoelenco"/>
        <w:numPr>
          <w:ilvl w:val="0"/>
          <w:numId w:val="2"/>
        </w:numPr>
        <w:tabs>
          <w:tab w:val="left" w:pos="572"/>
          <w:tab w:val="left" w:pos="573"/>
        </w:tabs>
        <w:spacing w:before="209" w:line="235" w:lineRule="auto"/>
        <w:ind w:right="693"/>
        <w:jc w:val="both"/>
        <w:rPr>
          <w:lang w:val="en-GB"/>
        </w:rPr>
      </w:pPr>
      <w:r w:rsidRPr="004F350E">
        <w:rPr>
          <w:lang w:val="en-GB"/>
        </w:rPr>
        <w:t>ALL exams required by the foreign university’s study plan must be completed abroad. If the corresponding Cattolica exams have already been passed, the foreign exams will be converted to extra exams.</w:t>
      </w:r>
    </w:p>
    <w:p w14:paraId="65F851FA" w14:textId="3A304879" w:rsidR="00AB6F2D" w:rsidRPr="00AB6F2D" w:rsidRDefault="00AB6F2D" w:rsidP="00AB6F2D">
      <w:pPr>
        <w:pStyle w:val="Paragrafoelenco"/>
        <w:numPr>
          <w:ilvl w:val="0"/>
          <w:numId w:val="2"/>
        </w:numPr>
        <w:tabs>
          <w:tab w:val="left" w:pos="572"/>
          <w:tab w:val="left" w:pos="573"/>
        </w:tabs>
        <w:spacing w:before="209" w:line="235" w:lineRule="auto"/>
        <w:ind w:right="693"/>
        <w:jc w:val="both"/>
        <w:rPr>
          <w:lang w:val="en-GB"/>
        </w:rPr>
      </w:pPr>
      <w:r w:rsidRPr="00AB6F2D">
        <w:rPr>
          <w:lang w:val="en-GB"/>
        </w:rPr>
        <w:t>It is not allowed to reject the grades of exams taken abroad.</w:t>
      </w:r>
    </w:p>
    <w:p w14:paraId="1745BDBF" w14:textId="618D3C51" w:rsidR="00AB173D" w:rsidRPr="008748B0" w:rsidRDefault="00AB6F2D" w:rsidP="008748B0">
      <w:pPr>
        <w:pStyle w:val="Paragrafoelenco"/>
        <w:numPr>
          <w:ilvl w:val="0"/>
          <w:numId w:val="2"/>
        </w:numPr>
        <w:tabs>
          <w:tab w:val="left" w:pos="572"/>
          <w:tab w:val="left" w:pos="573"/>
        </w:tabs>
        <w:spacing w:before="209" w:line="235" w:lineRule="auto"/>
        <w:ind w:right="693"/>
        <w:jc w:val="both"/>
        <w:rPr>
          <w:lang w:val="en-GB"/>
        </w:rPr>
      </w:pPr>
      <w:r w:rsidRPr="00AB6F2D">
        <w:rPr>
          <w:lang w:val="en-GB"/>
        </w:rPr>
        <w:t>Duble Degree students (except for the DD with Fordham) can present their thesis topic starting from the January following the year of departure (e.g., departure in September 2024, thesis topic can be presented from January 2025).</w:t>
      </w:r>
    </w:p>
    <w:p w14:paraId="65BE1A10" w14:textId="77777777" w:rsidR="00A65879" w:rsidRDefault="00A65879" w:rsidP="00AB6F2D">
      <w:pPr>
        <w:pStyle w:val="Titolo1"/>
        <w:jc w:val="both"/>
        <w:rPr>
          <w:color w:val="003057"/>
          <w:lang w:val="en-GB"/>
        </w:rPr>
      </w:pPr>
    </w:p>
    <w:p w14:paraId="698D006E" w14:textId="281C6E3E" w:rsidR="00AB173D" w:rsidRPr="008748B0" w:rsidRDefault="008748B0" w:rsidP="00AB6F2D">
      <w:pPr>
        <w:pStyle w:val="Titolo1"/>
        <w:jc w:val="both"/>
        <w:rPr>
          <w:color w:val="003057"/>
          <w:lang w:val="en-GB"/>
        </w:rPr>
      </w:pPr>
      <w:r w:rsidRPr="008748B0">
        <w:rPr>
          <w:color w:val="003057"/>
          <w:lang w:val="en-GB"/>
        </w:rPr>
        <w:t xml:space="preserve">Specific Guidelines for the Double Degree Program at the </w:t>
      </w:r>
      <w:r>
        <w:rPr>
          <w:color w:val="003057"/>
          <w:lang w:val="en-GB"/>
        </w:rPr>
        <w:t xml:space="preserve">University of </w:t>
      </w:r>
      <w:r w:rsidRPr="008748B0">
        <w:rPr>
          <w:color w:val="003057"/>
          <w:lang w:val="en-GB"/>
        </w:rPr>
        <w:t>Groningen</w:t>
      </w:r>
    </w:p>
    <w:p w14:paraId="1090B1F2" w14:textId="685A8DA3" w:rsidR="008748B0" w:rsidRPr="008748B0" w:rsidRDefault="008748B0" w:rsidP="008748B0">
      <w:pPr>
        <w:pStyle w:val="Paragrafoelenco"/>
        <w:numPr>
          <w:ilvl w:val="0"/>
          <w:numId w:val="2"/>
        </w:numPr>
        <w:tabs>
          <w:tab w:val="left" w:pos="572"/>
          <w:tab w:val="left" w:pos="573"/>
        </w:tabs>
        <w:spacing w:before="208" w:line="235" w:lineRule="auto"/>
        <w:ind w:right="102"/>
        <w:jc w:val="both"/>
        <w:rPr>
          <w:lang w:val="en-GB"/>
        </w:rPr>
      </w:pPr>
      <w:r w:rsidRPr="008748B0">
        <w:rPr>
          <w:lang w:val="en-GB"/>
        </w:rPr>
        <w:t>Students in the Double Degree program at the University of Groningen will write their thesis under the supervision of a UG professor. The thesis will also be considered valid for Cattolica and does not need to be discussed upon return. The grade assigned by the University of Groningen will be converted into thesis points according to the conversion table published online.</w:t>
      </w:r>
    </w:p>
    <w:p w14:paraId="56DDE41C" w14:textId="77777777" w:rsidR="008748B0" w:rsidRPr="008748B0" w:rsidRDefault="008748B0" w:rsidP="00376B84">
      <w:pPr>
        <w:pStyle w:val="Paragrafoelenco"/>
        <w:numPr>
          <w:ilvl w:val="0"/>
          <w:numId w:val="2"/>
        </w:numPr>
        <w:tabs>
          <w:tab w:val="left" w:pos="572"/>
          <w:tab w:val="left" w:pos="573"/>
        </w:tabs>
        <w:spacing w:before="208" w:line="235" w:lineRule="auto"/>
        <w:ind w:right="102"/>
        <w:jc w:val="both"/>
        <w:rPr>
          <w:lang w:val="en-GB"/>
        </w:rPr>
      </w:pPr>
      <w:r w:rsidRPr="008748B0">
        <w:rPr>
          <w:lang w:val="en-GB"/>
        </w:rPr>
        <w:t xml:space="preserve">Students must send the official thesis evaluation by email to </w:t>
      </w:r>
      <w:hyperlink r:id="rId11">
        <w:r w:rsidRPr="008748B0">
          <w:rPr>
            <w:color w:val="0000FF"/>
            <w:spacing w:val="-3"/>
            <w:u w:val="single" w:color="0000FF"/>
            <w:lang w:val="en-GB"/>
          </w:rPr>
          <w:t>internazionale.sbfa@unicatt.it</w:t>
        </w:r>
        <w:r w:rsidRPr="008748B0">
          <w:rPr>
            <w:color w:val="0000FF"/>
            <w:spacing w:val="-10"/>
            <w:lang w:val="en-GB"/>
          </w:rPr>
          <w:t xml:space="preserve"> </w:t>
        </w:r>
      </w:hyperlink>
      <w:r w:rsidRPr="008748B0">
        <w:rPr>
          <w:lang w:val="en-GB"/>
        </w:rPr>
        <w:t>.</w:t>
      </w:r>
    </w:p>
    <w:p w14:paraId="3C372AA2" w14:textId="6B4384EB" w:rsidR="00AB173D" w:rsidRPr="008748B0" w:rsidRDefault="008748B0" w:rsidP="008748B0">
      <w:pPr>
        <w:pStyle w:val="Paragrafoelenco"/>
        <w:numPr>
          <w:ilvl w:val="0"/>
          <w:numId w:val="2"/>
        </w:numPr>
        <w:tabs>
          <w:tab w:val="left" w:pos="572"/>
          <w:tab w:val="left" w:pos="573"/>
        </w:tabs>
        <w:spacing w:before="208" w:line="235" w:lineRule="auto"/>
        <w:ind w:right="102"/>
        <w:jc w:val="both"/>
        <w:rPr>
          <w:lang w:val="en-GB"/>
        </w:rPr>
      </w:pPr>
      <w:r w:rsidRPr="008748B0">
        <w:rPr>
          <w:lang w:val="en-GB"/>
        </w:rPr>
        <w:t>Students must apply for the thesis following the instructions and deadlines of Unicatt, indicating Prof. G. Petrella as the Supervisor.</w:t>
      </w:r>
    </w:p>
    <w:p w14:paraId="2B6B5DE6" w14:textId="77777777" w:rsidR="00AB173D" w:rsidRPr="00A65879" w:rsidRDefault="00AB173D">
      <w:pPr>
        <w:pStyle w:val="Paragrafoelenco"/>
        <w:tabs>
          <w:tab w:val="left" w:pos="835"/>
          <w:tab w:val="left" w:pos="836"/>
        </w:tabs>
        <w:spacing w:line="228" w:lineRule="auto"/>
        <w:ind w:right="884"/>
        <w:jc w:val="both"/>
        <w:rPr>
          <w:lang w:val="en-US"/>
        </w:rPr>
      </w:pPr>
    </w:p>
    <w:p w14:paraId="50FDFA40" w14:textId="77777777" w:rsidR="00AB173D" w:rsidRPr="00A65879" w:rsidRDefault="00AB173D">
      <w:pPr>
        <w:pStyle w:val="Paragrafoelenco"/>
        <w:tabs>
          <w:tab w:val="left" w:pos="835"/>
          <w:tab w:val="left" w:pos="836"/>
        </w:tabs>
        <w:spacing w:line="228" w:lineRule="auto"/>
        <w:ind w:right="884"/>
        <w:jc w:val="both"/>
        <w:rPr>
          <w:lang w:val="en-US"/>
        </w:rPr>
      </w:pPr>
    </w:p>
    <w:p w14:paraId="3A763DD8" w14:textId="77777777" w:rsidR="00AB173D" w:rsidRPr="00A65879" w:rsidRDefault="00AB173D">
      <w:pPr>
        <w:pStyle w:val="Paragrafoelenco"/>
        <w:tabs>
          <w:tab w:val="left" w:pos="835"/>
          <w:tab w:val="left" w:pos="836"/>
        </w:tabs>
        <w:spacing w:line="228" w:lineRule="auto"/>
        <w:ind w:right="884"/>
        <w:jc w:val="both"/>
        <w:rPr>
          <w:lang w:val="en-US"/>
        </w:rPr>
      </w:pPr>
    </w:p>
    <w:p w14:paraId="652F6414" w14:textId="77777777" w:rsidR="00AB173D" w:rsidRPr="00A65879" w:rsidRDefault="00AB173D">
      <w:pPr>
        <w:pStyle w:val="Paragrafoelenco"/>
        <w:tabs>
          <w:tab w:val="left" w:pos="835"/>
          <w:tab w:val="left" w:pos="836"/>
        </w:tabs>
        <w:spacing w:line="228" w:lineRule="auto"/>
        <w:ind w:right="884"/>
        <w:jc w:val="both"/>
        <w:rPr>
          <w:lang w:val="en-US"/>
        </w:rPr>
      </w:pPr>
    </w:p>
    <w:p w14:paraId="661F4096" w14:textId="77777777" w:rsidR="00AB173D" w:rsidRPr="00A65879" w:rsidRDefault="00AB173D">
      <w:pPr>
        <w:pStyle w:val="Paragrafoelenco"/>
        <w:tabs>
          <w:tab w:val="left" w:pos="835"/>
          <w:tab w:val="left" w:pos="836"/>
        </w:tabs>
        <w:spacing w:line="228" w:lineRule="auto"/>
        <w:ind w:right="884"/>
        <w:jc w:val="both"/>
        <w:rPr>
          <w:lang w:val="en-US"/>
        </w:rPr>
      </w:pPr>
    </w:p>
    <w:p w14:paraId="57FD94DB" w14:textId="77777777" w:rsidR="00AB173D" w:rsidRPr="00A65879" w:rsidRDefault="00AB173D">
      <w:pPr>
        <w:pStyle w:val="Paragrafoelenco"/>
        <w:tabs>
          <w:tab w:val="left" w:pos="835"/>
          <w:tab w:val="left" w:pos="836"/>
        </w:tabs>
        <w:spacing w:line="228" w:lineRule="auto"/>
        <w:ind w:right="884"/>
        <w:jc w:val="both"/>
        <w:rPr>
          <w:lang w:val="en-US"/>
        </w:rPr>
      </w:pPr>
    </w:p>
    <w:p w14:paraId="364471A5" w14:textId="77777777" w:rsidR="00AB173D" w:rsidRPr="00A65879" w:rsidRDefault="00AB173D">
      <w:pPr>
        <w:pStyle w:val="Paragrafoelenco"/>
        <w:tabs>
          <w:tab w:val="left" w:pos="835"/>
          <w:tab w:val="left" w:pos="836"/>
        </w:tabs>
        <w:spacing w:line="228" w:lineRule="auto"/>
        <w:ind w:right="884"/>
        <w:jc w:val="both"/>
        <w:rPr>
          <w:color w:val="003057"/>
          <w:lang w:val="en-US"/>
        </w:rPr>
      </w:pPr>
    </w:p>
    <w:sectPr w:rsidR="00AB173D" w:rsidRPr="00A65879">
      <w:headerReference w:type="even" r:id="rId12"/>
      <w:headerReference w:type="default" r:id="rId13"/>
      <w:headerReference w:type="first" r:id="rId14"/>
      <w:pgSz w:w="11906" w:h="16838"/>
      <w:pgMar w:top="2780" w:right="1680" w:bottom="280" w:left="1300" w:header="806"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89C51" w14:textId="77777777" w:rsidR="00857AD8" w:rsidRDefault="00857AD8">
      <w:r>
        <w:separator/>
      </w:r>
    </w:p>
  </w:endnote>
  <w:endnote w:type="continuationSeparator" w:id="0">
    <w:p w14:paraId="461038A6" w14:textId="77777777" w:rsidR="00857AD8" w:rsidRDefault="0085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2"/>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5EF60" w14:textId="77777777" w:rsidR="00857AD8" w:rsidRDefault="00857AD8">
      <w:r>
        <w:separator/>
      </w:r>
    </w:p>
  </w:footnote>
  <w:footnote w:type="continuationSeparator" w:id="0">
    <w:p w14:paraId="0E1E9608" w14:textId="77777777" w:rsidR="00857AD8" w:rsidRDefault="00857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57AD" w14:textId="77777777" w:rsidR="00AB173D" w:rsidRDefault="00AB17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4A3B" w14:textId="77777777" w:rsidR="00AB173D" w:rsidRDefault="00000000">
    <w:pPr>
      <w:pStyle w:val="Corpotesto"/>
      <w:spacing w:line="12" w:lineRule="auto"/>
      <w:rPr>
        <w:sz w:val="20"/>
      </w:rPr>
    </w:pPr>
    <w:r>
      <w:rPr>
        <w:noProof/>
        <w:sz w:val="20"/>
      </w:rPr>
      <w:drawing>
        <wp:anchor distT="0" distB="0" distL="0" distR="0" simplePos="0" relativeHeight="251657216" behindDoc="1" locked="0" layoutInCell="0" allowOverlap="1" wp14:anchorId="15EE8B4E" wp14:editId="7B62FB29">
          <wp:simplePos x="0" y="0"/>
          <wp:positionH relativeFrom="page">
            <wp:posOffset>899795</wp:posOffset>
          </wp:positionH>
          <wp:positionV relativeFrom="page">
            <wp:posOffset>511810</wp:posOffset>
          </wp:positionV>
          <wp:extent cx="768350" cy="12630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noChangeArrowheads="1"/>
                  </pic:cNvPicPr>
                </pic:nvPicPr>
                <pic:blipFill>
                  <a:blip r:embed="rId1"/>
                  <a:stretch>
                    <a:fillRect/>
                  </a:stretch>
                </pic:blipFill>
                <pic:spPr bwMode="auto">
                  <a:xfrm>
                    <a:off x="0" y="0"/>
                    <a:ext cx="768350" cy="12630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13690" w14:textId="77777777" w:rsidR="00AB173D" w:rsidRDefault="00000000">
    <w:pPr>
      <w:pStyle w:val="Corpotesto"/>
      <w:spacing w:line="12" w:lineRule="auto"/>
      <w:rPr>
        <w:sz w:val="20"/>
      </w:rPr>
    </w:pPr>
    <w:r>
      <w:rPr>
        <w:noProof/>
        <w:sz w:val="20"/>
      </w:rPr>
      <w:drawing>
        <wp:anchor distT="0" distB="0" distL="0" distR="0" simplePos="0" relativeHeight="251658240" behindDoc="1" locked="0" layoutInCell="0" allowOverlap="1" wp14:anchorId="1F4A4D35" wp14:editId="0080A0BB">
          <wp:simplePos x="0" y="0"/>
          <wp:positionH relativeFrom="page">
            <wp:posOffset>899795</wp:posOffset>
          </wp:positionH>
          <wp:positionV relativeFrom="page">
            <wp:posOffset>511810</wp:posOffset>
          </wp:positionV>
          <wp:extent cx="768350" cy="126301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noChangeArrowheads="1"/>
                  </pic:cNvPicPr>
                </pic:nvPicPr>
                <pic:blipFill>
                  <a:blip r:embed="rId1"/>
                  <a:stretch>
                    <a:fillRect/>
                  </a:stretch>
                </pic:blipFill>
                <pic:spPr bwMode="auto">
                  <a:xfrm>
                    <a:off x="0" y="0"/>
                    <a:ext cx="768350" cy="12630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E6EA9"/>
    <w:multiLevelType w:val="multilevel"/>
    <w:tmpl w:val="2E6E78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291C6F"/>
    <w:multiLevelType w:val="multilevel"/>
    <w:tmpl w:val="04BAB9C0"/>
    <w:lvl w:ilvl="0">
      <w:numFmt w:val="bullet"/>
      <w:lvlText w:val=""/>
      <w:lvlJc w:val="left"/>
      <w:pPr>
        <w:tabs>
          <w:tab w:val="num" w:pos="0"/>
        </w:tabs>
        <w:ind w:left="836" w:hanging="360"/>
      </w:pPr>
      <w:rPr>
        <w:rFonts w:ascii="Wingdings" w:hAnsi="Wingdings" w:cs="Wingdings" w:hint="default"/>
        <w:color w:val="D0DDEB"/>
        <w:w w:val="100"/>
        <w:sz w:val="28"/>
        <w:szCs w:val="28"/>
        <w:lang w:val="it-IT" w:eastAsia="it-IT" w:bidi="it-IT"/>
      </w:rPr>
    </w:lvl>
    <w:lvl w:ilvl="1">
      <w:numFmt w:val="bullet"/>
      <w:lvlText w:val=""/>
      <w:lvlJc w:val="left"/>
      <w:pPr>
        <w:tabs>
          <w:tab w:val="num" w:pos="0"/>
        </w:tabs>
        <w:ind w:left="1649" w:hanging="360"/>
      </w:pPr>
      <w:rPr>
        <w:rFonts w:ascii="Symbol" w:hAnsi="Symbol" w:cs="Symbol" w:hint="default"/>
        <w:lang w:val="it-IT" w:eastAsia="it-IT" w:bidi="it-IT"/>
      </w:rPr>
    </w:lvl>
    <w:lvl w:ilvl="2">
      <w:numFmt w:val="bullet"/>
      <w:lvlText w:val=""/>
      <w:lvlJc w:val="left"/>
      <w:pPr>
        <w:tabs>
          <w:tab w:val="num" w:pos="0"/>
        </w:tabs>
        <w:ind w:left="2458" w:hanging="360"/>
      </w:pPr>
      <w:rPr>
        <w:rFonts w:ascii="Symbol" w:hAnsi="Symbol" w:cs="Symbol" w:hint="default"/>
        <w:lang w:val="it-IT" w:eastAsia="it-IT" w:bidi="it-IT"/>
      </w:rPr>
    </w:lvl>
    <w:lvl w:ilvl="3">
      <w:numFmt w:val="bullet"/>
      <w:lvlText w:val=""/>
      <w:lvlJc w:val="left"/>
      <w:pPr>
        <w:tabs>
          <w:tab w:val="num" w:pos="0"/>
        </w:tabs>
        <w:ind w:left="3267" w:hanging="360"/>
      </w:pPr>
      <w:rPr>
        <w:rFonts w:ascii="Symbol" w:hAnsi="Symbol" w:cs="Symbol" w:hint="default"/>
        <w:lang w:val="it-IT" w:eastAsia="it-IT" w:bidi="it-IT"/>
      </w:rPr>
    </w:lvl>
    <w:lvl w:ilvl="4">
      <w:numFmt w:val="bullet"/>
      <w:lvlText w:val=""/>
      <w:lvlJc w:val="left"/>
      <w:pPr>
        <w:tabs>
          <w:tab w:val="num" w:pos="0"/>
        </w:tabs>
        <w:ind w:left="4076" w:hanging="360"/>
      </w:pPr>
      <w:rPr>
        <w:rFonts w:ascii="Symbol" w:hAnsi="Symbol" w:cs="Symbol" w:hint="default"/>
        <w:lang w:val="it-IT" w:eastAsia="it-IT" w:bidi="it-IT"/>
      </w:rPr>
    </w:lvl>
    <w:lvl w:ilvl="5">
      <w:numFmt w:val="bullet"/>
      <w:lvlText w:val=""/>
      <w:lvlJc w:val="left"/>
      <w:pPr>
        <w:tabs>
          <w:tab w:val="num" w:pos="0"/>
        </w:tabs>
        <w:ind w:left="4885" w:hanging="360"/>
      </w:pPr>
      <w:rPr>
        <w:rFonts w:ascii="Symbol" w:hAnsi="Symbol" w:cs="Symbol" w:hint="default"/>
        <w:lang w:val="it-IT" w:eastAsia="it-IT" w:bidi="it-IT"/>
      </w:rPr>
    </w:lvl>
    <w:lvl w:ilvl="6">
      <w:numFmt w:val="bullet"/>
      <w:lvlText w:val=""/>
      <w:lvlJc w:val="left"/>
      <w:pPr>
        <w:tabs>
          <w:tab w:val="num" w:pos="0"/>
        </w:tabs>
        <w:ind w:left="5694" w:hanging="360"/>
      </w:pPr>
      <w:rPr>
        <w:rFonts w:ascii="Symbol" w:hAnsi="Symbol" w:cs="Symbol" w:hint="default"/>
        <w:lang w:val="it-IT" w:eastAsia="it-IT" w:bidi="it-IT"/>
      </w:rPr>
    </w:lvl>
    <w:lvl w:ilvl="7">
      <w:numFmt w:val="bullet"/>
      <w:lvlText w:val=""/>
      <w:lvlJc w:val="left"/>
      <w:pPr>
        <w:tabs>
          <w:tab w:val="num" w:pos="0"/>
        </w:tabs>
        <w:ind w:left="6503" w:hanging="360"/>
      </w:pPr>
      <w:rPr>
        <w:rFonts w:ascii="Symbol" w:hAnsi="Symbol" w:cs="Symbol" w:hint="default"/>
        <w:lang w:val="it-IT" w:eastAsia="it-IT" w:bidi="it-IT"/>
      </w:rPr>
    </w:lvl>
    <w:lvl w:ilvl="8">
      <w:numFmt w:val="bullet"/>
      <w:lvlText w:val=""/>
      <w:lvlJc w:val="left"/>
      <w:pPr>
        <w:tabs>
          <w:tab w:val="num" w:pos="0"/>
        </w:tabs>
        <w:ind w:left="7312" w:hanging="360"/>
      </w:pPr>
      <w:rPr>
        <w:rFonts w:ascii="Symbol" w:hAnsi="Symbol" w:cs="Symbol" w:hint="default"/>
        <w:lang w:val="it-IT" w:eastAsia="it-IT" w:bidi="it-IT"/>
      </w:rPr>
    </w:lvl>
  </w:abstractNum>
  <w:abstractNum w:abstractNumId="2" w15:restartNumberingAfterBreak="0">
    <w:nsid w:val="69536F72"/>
    <w:multiLevelType w:val="multilevel"/>
    <w:tmpl w:val="84C612D8"/>
    <w:lvl w:ilvl="0">
      <w:start w:val="1"/>
      <w:numFmt w:val="bullet"/>
      <w:lvlText w:val=""/>
      <w:lvlJc w:val="left"/>
      <w:pPr>
        <w:tabs>
          <w:tab w:val="num" w:pos="0"/>
        </w:tabs>
        <w:ind w:left="572" w:hanging="360"/>
      </w:pPr>
      <w:rPr>
        <w:rFonts w:ascii="Wingdings" w:hAnsi="Wingdings" w:cs="Wingdings" w:hint="default"/>
        <w:color w:val="D0DDEB"/>
        <w:w w:val="100"/>
        <w:sz w:val="28"/>
        <w:szCs w:val="28"/>
        <w:lang w:val="it-IT" w:eastAsia="it-IT" w:bidi="it-IT"/>
      </w:rPr>
    </w:lvl>
    <w:lvl w:ilvl="1">
      <w:start w:val="1"/>
      <w:numFmt w:val="bullet"/>
      <w:lvlText w:val=""/>
      <w:lvlJc w:val="left"/>
      <w:pPr>
        <w:tabs>
          <w:tab w:val="num" w:pos="0"/>
        </w:tabs>
        <w:ind w:left="1507" w:hanging="360"/>
      </w:pPr>
      <w:rPr>
        <w:rFonts w:ascii="Symbol" w:hAnsi="Symbol" w:cs="Symbol" w:hint="default"/>
        <w:color w:val="0000FF"/>
        <w:sz w:val="22"/>
        <w:u w:val="single" w:color="0000FF"/>
      </w:rPr>
    </w:lvl>
    <w:lvl w:ilvl="2">
      <w:start w:val="1"/>
      <w:numFmt w:val="bullet"/>
      <w:lvlText w:val=""/>
      <w:lvlJc w:val="left"/>
      <w:pPr>
        <w:tabs>
          <w:tab w:val="num" w:pos="0"/>
        </w:tabs>
        <w:ind w:left="2434" w:hanging="360"/>
      </w:pPr>
      <w:rPr>
        <w:rFonts w:ascii="Symbol" w:hAnsi="Symbol" w:cs="Symbol" w:hint="default"/>
        <w:color w:val="0000FF"/>
        <w:spacing w:val="-1"/>
        <w:sz w:val="22"/>
        <w:u w:val="single" w:color="0000FF"/>
      </w:rPr>
    </w:lvl>
    <w:lvl w:ilvl="3">
      <w:start w:val="1"/>
      <w:numFmt w:val="bullet"/>
      <w:lvlText w:val=""/>
      <w:lvlJc w:val="left"/>
      <w:pPr>
        <w:tabs>
          <w:tab w:val="num" w:pos="0"/>
        </w:tabs>
        <w:ind w:left="3361" w:hanging="360"/>
      </w:pPr>
      <w:rPr>
        <w:rFonts w:ascii="Symbol" w:hAnsi="Symbol" w:cs="Symbol" w:hint="default"/>
        <w:lang w:val="it-IT" w:eastAsia="it-IT" w:bidi="it-IT"/>
      </w:rPr>
    </w:lvl>
    <w:lvl w:ilvl="4">
      <w:start w:val="1"/>
      <w:numFmt w:val="bullet"/>
      <w:lvlText w:val=""/>
      <w:lvlJc w:val="left"/>
      <w:pPr>
        <w:tabs>
          <w:tab w:val="num" w:pos="0"/>
        </w:tabs>
        <w:ind w:left="4288" w:hanging="360"/>
      </w:pPr>
      <w:rPr>
        <w:rFonts w:ascii="Symbol" w:hAnsi="Symbol" w:cs="Symbol" w:hint="default"/>
        <w:lang w:val="it-IT" w:eastAsia="it-IT" w:bidi="it-IT"/>
      </w:rPr>
    </w:lvl>
    <w:lvl w:ilvl="5">
      <w:start w:val="1"/>
      <w:numFmt w:val="bullet"/>
      <w:lvlText w:val=""/>
      <w:lvlJc w:val="left"/>
      <w:pPr>
        <w:tabs>
          <w:tab w:val="num" w:pos="0"/>
        </w:tabs>
        <w:ind w:left="5215" w:hanging="360"/>
      </w:pPr>
      <w:rPr>
        <w:rFonts w:ascii="Symbol" w:hAnsi="Symbol" w:cs="Symbol" w:hint="default"/>
        <w:lang w:val="it-IT" w:eastAsia="it-IT" w:bidi="it-IT"/>
      </w:rPr>
    </w:lvl>
    <w:lvl w:ilvl="6">
      <w:start w:val="1"/>
      <w:numFmt w:val="bullet"/>
      <w:lvlText w:val=""/>
      <w:lvlJc w:val="left"/>
      <w:pPr>
        <w:tabs>
          <w:tab w:val="num" w:pos="0"/>
        </w:tabs>
        <w:ind w:left="6142" w:hanging="360"/>
      </w:pPr>
      <w:rPr>
        <w:rFonts w:ascii="Symbol" w:hAnsi="Symbol" w:cs="Symbol" w:hint="default"/>
        <w:lang w:val="it-IT" w:eastAsia="it-IT" w:bidi="it-IT"/>
      </w:rPr>
    </w:lvl>
    <w:lvl w:ilvl="7">
      <w:start w:val="1"/>
      <w:numFmt w:val="bullet"/>
      <w:lvlText w:val=""/>
      <w:lvlJc w:val="left"/>
      <w:pPr>
        <w:tabs>
          <w:tab w:val="num" w:pos="0"/>
        </w:tabs>
        <w:ind w:left="7069" w:hanging="360"/>
      </w:pPr>
      <w:rPr>
        <w:rFonts w:ascii="Symbol" w:hAnsi="Symbol" w:cs="Symbol" w:hint="default"/>
        <w:lang w:val="it-IT" w:eastAsia="it-IT" w:bidi="it-IT"/>
      </w:rPr>
    </w:lvl>
    <w:lvl w:ilvl="8">
      <w:start w:val="1"/>
      <w:numFmt w:val="bullet"/>
      <w:lvlText w:val=""/>
      <w:lvlJc w:val="left"/>
      <w:pPr>
        <w:tabs>
          <w:tab w:val="num" w:pos="0"/>
        </w:tabs>
        <w:ind w:left="7996" w:hanging="360"/>
      </w:pPr>
      <w:rPr>
        <w:rFonts w:ascii="Symbol" w:hAnsi="Symbol" w:cs="Symbol" w:hint="default"/>
        <w:lang w:val="it-IT" w:eastAsia="it-IT" w:bidi="it-IT"/>
      </w:rPr>
    </w:lvl>
  </w:abstractNum>
  <w:num w:numId="1" w16cid:durableId="1702243253">
    <w:abstractNumId w:val="1"/>
  </w:num>
  <w:num w:numId="2" w16cid:durableId="720980764">
    <w:abstractNumId w:val="2"/>
  </w:num>
  <w:num w:numId="3" w16cid:durableId="559830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3D"/>
    <w:rsid w:val="00046024"/>
    <w:rsid w:val="00315DBC"/>
    <w:rsid w:val="00422624"/>
    <w:rsid w:val="004F350E"/>
    <w:rsid w:val="0056325E"/>
    <w:rsid w:val="00585D1B"/>
    <w:rsid w:val="00764ABD"/>
    <w:rsid w:val="00857AD8"/>
    <w:rsid w:val="008705C9"/>
    <w:rsid w:val="008748B0"/>
    <w:rsid w:val="00985958"/>
    <w:rsid w:val="00A65879"/>
    <w:rsid w:val="00AB173D"/>
    <w:rsid w:val="00AB6F2D"/>
    <w:rsid w:val="00B828E6"/>
    <w:rsid w:val="00D10C0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8FF53"/>
  <w15:docId w15:val="{661E4EA3-E3A1-485A-A053-75433E49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Arial" w:eastAsia="Arial" w:hAnsi="Arial" w:cs="Arial"/>
      <w:lang w:val="it-IT" w:eastAsia="it-IT" w:bidi="it-IT"/>
    </w:rPr>
  </w:style>
  <w:style w:type="paragraph" w:styleId="Titolo1">
    <w:name w:val="heading 1"/>
    <w:basedOn w:val="Normale"/>
    <w:uiPriority w:val="9"/>
    <w:qFormat/>
    <w:pPr>
      <w:spacing w:before="141"/>
      <w:ind w:left="115"/>
      <w:outlineLvl w:val="0"/>
    </w:pPr>
    <w:rPr>
      <w:b/>
      <w:bCs/>
      <w:sz w:val="24"/>
      <w:szCs w:val="24"/>
    </w:rPr>
  </w:style>
  <w:style w:type="paragraph" w:styleId="Titolo2">
    <w:name w:val="heading 2"/>
    <w:basedOn w:val="Normale"/>
    <w:uiPriority w:val="9"/>
    <w:unhideWhenUsed/>
    <w:qFormat/>
    <w:pPr>
      <w:ind w:left="115"/>
      <w:outlineLvl w:val="1"/>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uiPriority w:val="1"/>
    <w:qFormat/>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styleId="Paragrafoelenco">
    <w:name w:val="List Paragraph"/>
    <w:basedOn w:val="Normale"/>
    <w:uiPriority w:val="1"/>
    <w:qFormat/>
    <w:pPr>
      <w:ind w:left="836" w:hanging="360"/>
    </w:pPr>
  </w:style>
  <w:style w:type="paragraph" w:customStyle="1" w:styleId="TableParagraph">
    <w:name w:val="Table Paragraph"/>
    <w:basedOn w:val="Normale"/>
    <w:uiPriority w:val="1"/>
    <w:qFormat/>
  </w:style>
  <w:style w:type="paragraph" w:customStyle="1" w:styleId="HeaderandFooter">
    <w:name w:val="Header and Footer"/>
    <w:basedOn w:val="Normale"/>
    <w:qFormat/>
  </w:style>
  <w:style w:type="paragraph" w:styleId="Intestazione">
    <w:name w:val="header"/>
    <w:basedOn w:val="HeaderandFooter"/>
  </w:style>
  <w:style w:type="paragraph" w:customStyle="1" w:styleId="HeaderLeft">
    <w:name w:val="Header Left"/>
    <w:basedOn w:val="Intestazio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424627">
      <w:bodyDiv w:val="1"/>
      <w:marLeft w:val="0"/>
      <w:marRight w:val="0"/>
      <w:marTop w:val="0"/>
      <w:marBottom w:val="0"/>
      <w:divBdr>
        <w:top w:val="none" w:sz="0" w:space="0" w:color="auto"/>
        <w:left w:val="none" w:sz="0" w:space="0" w:color="auto"/>
        <w:bottom w:val="none" w:sz="0" w:space="0" w:color="auto"/>
        <w:right w:val="none" w:sz="0" w:space="0" w:color="auto"/>
      </w:divBdr>
    </w:div>
    <w:div w:id="833228405">
      <w:bodyDiv w:val="1"/>
      <w:marLeft w:val="0"/>
      <w:marRight w:val="0"/>
      <w:marTop w:val="0"/>
      <w:marBottom w:val="0"/>
      <w:divBdr>
        <w:top w:val="none" w:sz="0" w:space="0" w:color="auto"/>
        <w:left w:val="none" w:sz="0" w:space="0" w:color="auto"/>
        <w:bottom w:val="none" w:sz="0" w:space="0" w:color="auto"/>
        <w:right w:val="none" w:sz="0" w:space="0" w:color="auto"/>
      </w:divBdr>
    </w:div>
    <w:div w:id="875502333">
      <w:bodyDiv w:val="1"/>
      <w:marLeft w:val="0"/>
      <w:marRight w:val="0"/>
      <w:marTop w:val="0"/>
      <w:marBottom w:val="0"/>
      <w:divBdr>
        <w:top w:val="none" w:sz="0" w:space="0" w:color="auto"/>
        <w:left w:val="none" w:sz="0" w:space="0" w:color="auto"/>
        <w:bottom w:val="none" w:sz="0" w:space="0" w:color="auto"/>
        <w:right w:val="none" w:sz="0" w:space="0" w:color="auto"/>
      </w:divBdr>
    </w:div>
    <w:div w:id="970792610">
      <w:bodyDiv w:val="1"/>
      <w:marLeft w:val="0"/>
      <w:marRight w:val="0"/>
      <w:marTop w:val="0"/>
      <w:marBottom w:val="0"/>
      <w:divBdr>
        <w:top w:val="none" w:sz="0" w:space="0" w:color="auto"/>
        <w:left w:val="none" w:sz="0" w:space="0" w:color="auto"/>
        <w:bottom w:val="none" w:sz="0" w:space="0" w:color="auto"/>
        <w:right w:val="none" w:sz="0" w:space="0" w:color="auto"/>
      </w:divBdr>
    </w:div>
    <w:div w:id="1293516609">
      <w:bodyDiv w:val="1"/>
      <w:marLeft w:val="0"/>
      <w:marRight w:val="0"/>
      <w:marTop w:val="0"/>
      <w:marBottom w:val="0"/>
      <w:divBdr>
        <w:top w:val="none" w:sz="0" w:space="0" w:color="auto"/>
        <w:left w:val="none" w:sz="0" w:space="0" w:color="auto"/>
        <w:bottom w:val="none" w:sz="0" w:space="0" w:color="auto"/>
        <w:right w:val="none" w:sz="0" w:space="0" w:color="auto"/>
      </w:divBdr>
    </w:div>
    <w:div w:id="2057704745">
      <w:bodyDiv w:val="1"/>
      <w:marLeft w:val="0"/>
      <w:marRight w:val="0"/>
      <w:marTop w:val="0"/>
      <w:marBottom w:val="0"/>
      <w:divBdr>
        <w:top w:val="none" w:sz="0" w:space="0" w:color="auto"/>
        <w:left w:val="none" w:sz="0" w:space="0" w:color="auto"/>
        <w:bottom w:val="none" w:sz="0" w:space="0" w:color="auto"/>
        <w:right w:val="none" w:sz="0" w:space="0" w:color="auto"/>
      </w:divBdr>
    </w:div>
    <w:div w:id="2112970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ternazionale.sbfa@unicatt.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internazionale.sbfa@unicatt.i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ernazionale.sbfa@unicatt.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oabroad.unicatt.it/goabroad-facolta-scienze-bancarie-%20finanziarie-e-assicurative" TargetMode="External"/><Relationship Id="rId4" Type="http://schemas.openxmlformats.org/officeDocument/2006/relationships/webSettings" Target="webSettings.xml"/><Relationship Id="rId9" Type="http://schemas.openxmlformats.org/officeDocument/2006/relationships/hyperlink" Target="mailto:riconoscimento.esamiesteri@unicatt.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Microsoft PowerPoint - scienze-bancarie-Presentazione_v2023_Marzia</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PowerPoint - scienze-bancarie-Presentazione_v2023_Marzia</dc:title>
  <dc:subject/>
  <dc:creator>marzia.dedonno</dc:creator>
  <dc:description/>
  <cp:lastModifiedBy>De Donno Marzia (marzia.dedonno)</cp:lastModifiedBy>
  <cp:revision>3</cp:revision>
  <dcterms:created xsi:type="dcterms:W3CDTF">2025-04-08T08:03:00Z</dcterms:created>
  <dcterms:modified xsi:type="dcterms:W3CDTF">2025-04-08T08:09:00Z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Acrobat PDFMaker 11 per Word</vt:lpwstr>
  </property>
  <property fmtid="{D5CDD505-2E9C-101B-9397-08002B2CF9AE}" pid="4" name="LastSaved">
    <vt:filetime>2025-02-14T00:00:00Z</vt:filetime>
  </property>
</Properties>
</file>